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podľa § 152 písm. c) zákona č. 245/2008 Z.z.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>Podľa § 144 ods.7 písm. d) zákona č.245/2008 Z.z.v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:rsidR="00AF004D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AF004D" w:rsidRPr="00835DF5" w:rsidRDefault="00446E24" w:rsidP="005170EF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regionálny úrad verejného zdravotníctva</w:t>
      </w:r>
      <w:r w:rsidR="00EA66DD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lekár všeobecnej zdravotnej starostlivosti pre deti a dorast 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>a ani na základe vyhlášky Ú</w:t>
      </w:r>
      <w:r w:rsidR="00EA66DD">
        <w:rPr>
          <w:rFonts w:asciiTheme="minorHAnsi" w:hAnsiTheme="minorHAnsi" w:cstheme="minorHAnsi"/>
          <w:sz w:val="22"/>
          <w:szCs w:val="22"/>
          <w:lang w:eastAsia="en-US"/>
        </w:rPr>
        <w:t>radu verejného zdravotníctva</w:t>
      </w:r>
      <w:bookmarkStart w:id="1" w:name="_GoBack"/>
      <w:bookmarkEnd w:id="1"/>
      <w:r w:rsidR="00FD5BD2">
        <w:rPr>
          <w:rFonts w:asciiTheme="minorHAnsi" w:hAnsiTheme="minorHAnsi" w:cstheme="minorHAnsi"/>
          <w:sz w:val="22"/>
          <w:szCs w:val="22"/>
          <w:lang w:eastAsia="en-US"/>
        </w:rPr>
        <w:t xml:space="preserve"> SR k izolácií osôb pozit</w:t>
      </w:r>
      <w:r w:rsidR="00E47CCF">
        <w:rPr>
          <w:rFonts w:asciiTheme="minorHAnsi" w:hAnsiTheme="minorHAnsi" w:cstheme="minorHAnsi"/>
          <w:sz w:val="22"/>
          <w:szCs w:val="22"/>
          <w:lang w:eastAsia="en-US"/>
        </w:rPr>
        <w:t>ív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 xml:space="preserve">nych na ochorenie COVID-19 a karanténe osôb, </w:t>
      </w:r>
      <w:r w:rsidR="00FD5BD2" w:rsidRPr="00FD5BD2">
        <w:rPr>
          <w:rFonts w:asciiTheme="minorHAnsi" w:hAnsiTheme="minorHAnsi" w:cstheme="minorHAnsi"/>
          <w:b/>
          <w:sz w:val="22"/>
          <w:szCs w:val="22"/>
          <w:lang w:eastAsia="en-US"/>
        </w:rPr>
        <w:t>di</w:t>
      </w:r>
      <w:r w:rsidR="00467091" w:rsidRPr="00FD5BD2">
        <w:rPr>
          <w:rFonts w:asciiTheme="minorHAnsi" w:hAnsiTheme="minorHAnsi" w:cstheme="minorHAnsi"/>
          <w:b/>
          <w:sz w:val="22"/>
          <w:szCs w:val="22"/>
          <w:lang w:eastAsia="en-US"/>
        </w:rPr>
        <w:t>e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ťaťu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/žiak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ovi</w:t>
      </w:r>
      <w:r w:rsidR="00FD5BD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nie je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nariad</w:t>
      </w:r>
      <w:r w:rsidR="00FD5BD2">
        <w:rPr>
          <w:rFonts w:asciiTheme="minorHAnsi" w:hAnsiTheme="minorHAnsi" w:cstheme="minorHAnsi"/>
          <w:b/>
          <w:sz w:val="22"/>
          <w:szCs w:val="22"/>
          <w:lang w:eastAsia="en-US"/>
        </w:rPr>
        <w:t>ené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karanténne opatrenie</w:t>
      </w:r>
      <w:r w:rsidR="00F904B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:rsidR="00467091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v prípade ak dieťa/žiak bol </w:t>
      </w:r>
      <w:r w:rsidR="00566954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za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posledných </w:t>
      </w:r>
      <w:r w:rsidR="00835DF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dní v zahraničí</w:t>
      </w:r>
      <w:r w:rsidR="00467091"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menej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2625D6" w:rsidRPr="00835DF5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si spolu s osobami žijúcimi v spoločnej domácnosti po vstupe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na územie S</w:t>
      </w:r>
      <w:r w:rsidR="00602913" w:rsidRPr="00835DF5">
        <w:rPr>
          <w:rFonts w:asciiTheme="minorHAnsi" w:hAnsiTheme="minorHAnsi" w:cstheme="minorHAnsi"/>
          <w:sz w:val="22"/>
          <w:szCs w:val="22"/>
          <w:lang w:eastAsia="en-US"/>
        </w:rPr>
        <w:t>lovenskej republiky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splnili povinnosti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obdržali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, ktorý bol vykonaný po vstupe na územie Slovenskej republiky alebo si uplatňujú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status </w:t>
      </w:r>
      <w:r w:rsidR="00C26D9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kompletne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zaočkovan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ých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os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ôb</w:t>
      </w:r>
      <w:r w:rsidR="004E5527" w:rsidRPr="00835DF5">
        <w:rPr>
          <w:sz w:val="22"/>
          <w:szCs w:val="22"/>
          <w:vertAlign w:val="superscript"/>
        </w:rPr>
        <w:footnoteReference w:id="2"/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sú po prekonaní ochorenia COVID-19 </w:t>
      </w:r>
      <w:r w:rsidR="00835DF5">
        <w:rPr>
          <w:rFonts w:asciiTheme="minorHAnsi" w:hAnsiTheme="minorHAnsi" w:cstheme="minorHAnsi"/>
          <w:sz w:val="22"/>
          <w:szCs w:val="22"/>
          <w:lang w:eastAsia="en-US"/>
        </w:rPr>
        <w:t xml:space="preserve">pred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nie viac ako 180 dňami.</w:t>
      </w:r>
    </w:p>
    <w:p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viac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835DF5" w:rsidRDefault="00467091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 xml:space="preserve">□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si po vstupe na územie Slovenskej republiky spln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il povinnosť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,ktorý bol vykonaný po vstupe na územie Slovenskej republiky alebo si uplatňuje status kompletne zaočkovanej osoby</w:t>
      </w:r>
      <w:r w:rsidR="005170EF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1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je po prekonaní ochorenia COVID-19 pred nie viac ako 180 dňami.</w:t>
      </w:r>
    </w:p>
    <w:p w:rsidR="005170EF" w:rsidRPr="00835DF5" w:rsidRDefault="005170EF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40D" w:rsidRDefault="00C2540D" w:rsidP="0013364C">
      <w:r>
        <w:separator/>
      </w:r>
    </w:p>
  </w:endnote>
  <w:endnote w:type="continuationSeparator" w:id="1">
    <w:p w:rsidR="00C2540D" w:rsidRDefault="00C2540D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5170EF">
      <w:rPr>
        <w:rFonts w:asciiTheme="minorHAnsi" w:hAnsiTheme="minorHAnsi" w:cstheme="minorHAnsi"/>
        <w:sz w:val="16"/>
        <w:szCs w:val="16"/>
      </w:rPr>
      <w:t>6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5170EF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</w:t>
    </w:r>
    <w:r w:rsidR="00835DF5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.202</w:t>
    </w:r>
    <w:bookmarkEnd w:id="2"/>
    <w:bookmarkEnd w:id="3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40D" w:rsidRDefault="00C2540D" w:rsidP="0013364C">
      <w:r>
        <w:separator/>
      </w:r>
    </w:p>
  </w:footnote>
  <w:footnote w:type="continuationSeparator" w:id="1">
    <w:p w:rsidR="00C2540D" w:rsidRDefault="00C2540D" w:rsidP="0013364C">
      <w:r>
        <w:continuationSeparator/>
      </w:r>
    </w:p>
  </w:footnote>
  <w:footnote w:id="2">
    <w:p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3364C"/>
    <w:rsid w:val="00001E39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92793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11909"/>
    <w:rsid w:val="00322736"/>
    <w:rsid w:val="003255A1"/>
    <w:rsid w:val="00340BC7"/>
    <w:rsid w:val="00360EB2"/>
    <w:rsid w:val="00364B9B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21D1"/>
    <w:rsid w:val="004C5535"/>
    <w:rsid w:val="004C7795"/>
    <w:rsid w:val="004D1A8F"/>
    <w:rsid w:val="004D313A"/>
    <w:rsid w:val="004E5527"/>
    <w:rsid w:val="004F0C53"/>
    <w:rsid w:val="004F145D"/>
    <w:rsid w:val="005151ED"/>
    <w:rsid w:val="005170EF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3505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4685"/>
    <w:rsid w:val="007662F2"/>
    <w:rsid w:val="00782F85"/>
    <w:rsid w:val="00796D78"/>
    <w:rsid w:val="007A2A44"/>
    <w:rsid w:val="007E2B97"/>
    <w:rsid w:val="00820BE3"/>
    <w:rsid w:val="00823AF0"/>
    <w:rsid w:val="008316E4"/>
    <w:rsid w:val="00835DF5"/>
    <w:rsid w:val="00840E34"/>
    <w:rsid w:val="00881740"/>
    <w:rsid w:val="008A199E"/>
    <w:rsid w:val="008F2B4B"/>
    <w:rsid w:val="009179CA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540D"/>
    <w:rsid w:val="00C26D9D"/>
    <w:rsid w:val="00C47E50"/>
    <w:rsid w:val="00C57355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47CCF"/>
    <w:rsid w:val="00E5016C"/>
    <w:rsid w:val="00E52604"/>
    <w:rsid w:val="00E86E0B"/>
    <w:rsid w:val="00E95267"/>
    <w:rsid w:val="00EA66DD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  <w:rsid w:val="00FD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0D5A-8B20-410D-A71C-219AC4DC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Zuzana Salíniová</cp:lastModifiedBy>
  <cp:revision>2</cp:revision>
  <cp:lastPrinted>2022-01-24T14:56:00Z</cp:lastPrinted>
  <dcterms:created xsi:type="dcterms:W3CDTF">2022-03-03T14:56:00Z</dcterms:created>
  <dcterms:modified xsi:type="dcterms:W3CDTF">2022-03-03T14:56:00Z</dcterms:modified>
</cp:coreProperties>
</file>